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C1" w:rsidRDefault="00356731" w:rsidP="003567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Rechnen mit Puzzleteilen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algebra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tiles</w:t>
      </w:r>
      <w:proofErr w:type="spellEnd"/>
    </w:p>
    <w:p w:rsidR="00356731" w:rsidRDefault="00356731" w:rsidP="003567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Produkte von Summen lassen sich gut mit Hilfe von rechteckigen Puzzleteilen (</w:t>
      </w:r>
      <w:proofErr w:type="spellStart"/>
      <w:r>
        <w:rPr>
          <w:rFonts w:ascii="Times New Roman" w:hAnsi="Times New Roman" w:cs="Times New Roman"/>
          <w:sz w:val="24"/>
          <w:szCs w:val="24"/>
        </w:rPr>
        <w:t>algebra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tiles</w:t>
      </w:r>
      <w:proofErr w:type="spellEnd"/>
      <w:r>
        <w:rPr>
          <w:rFonts w:ascii="Times New Roman" w:hAnsi="Times New Roman" w:cs="Times New Roman"/>
          <w:sz w:val="24"/>
          <w:szCs w:val="24"/>
        </w:rPr>
        <w:t>) veranschaulichen. Das liegt daran, dass die Flächeninhalte von Rechtecken sich durch Mult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plikation von Länge und Breite bestimmen lassen.</w:t>
      </w:r>
    </w:p>
    <w:p w:rsidR="00890B0A" w:rsidRDefault="00890B0A" w:rsidP="00356731">
      <w:pPr>
        <w:rPr>
          <w:rFonts w:ascii="Times New Roman" w:hAnsi="Times New Roman" w:cs="Times New Roman"/>
          <w:sz w:val="24"/>
          <w:szCs w:val="24"/>
        </w:rPr>
        <w:sectPr w:rsidR="00890B0A" w:rsidSect="000F1FC1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56731" w:rsidRDefault="00356731" w:rsidP="007C44E3">
      <w:pPr>
        <w:tabs>
          <w:tab w:val="left" w:pos="28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lastRenderedPageBreak/>
        <w:drawing>
          <wp:inline distT="0" distB="0" distL="0" distR="0">
            <wp:extent cx="2228850" cy="165735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B0A" w:rsidRDefault="00890B0A" w:rsidP="00356731">
      <w:pPr>
        <w:rPr>
          <w:rFonts w:ascii="Times New Roman" w:hAnsi="Times New Roman" w:cs="Times New Roman"/>
          <w:sz w:val="24"/>
          <w:szCs w:val="24"/>
        </w:rPr>
      </w:pPr>
    </w:p>
    <w:p w:rsidR="00356731" w:rsidRDefault="00356731" w:rsidP="00890B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Hier im Bild seht Ihr, wie die Terme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x+1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und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2x+2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in der </w:t>
      </w:r>
      <w:r>
        <w:rPr>
          <w:rFonts w:ascii="Times New Roman" w:hAnsi="Times New Roman" w:cs="Times New Roman"/>
          <w:sz w:val="24"/>
          <w:szCs w:val="24"/>
        </w:rPr>
        <w:t>Puzzle-Darstellung miteinander multipliziert we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den.</w:t>
      </w:r>
      <w:r w:rsidR="00890B0A">
        <w:rPr>
          <w:rFonts w:ascii="Times New Roman" w:hAnsi="Times New Roman" w:cs="Times New Roman"/>
          <w:sz w:val="24"/>
          <w:szCs w:val="24"/>
        </w:rPr>
        <w:t xml:space="preserve"> Wichtig dabei ist, dass die Puzzleteile immer in ordentlichen Reihen und Spalten neben- und untereinander liegen.</w:t>
      </w:r>
    </w:p>
    <w:p w:rsidR="00890B0A" w:rsidRDefault="00890B0A" w:rsidP="00890B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Erklärt mit Hilfe des Bildes: </w:t>
      </w:r>
    </w:p>
    <w:p w:rsidR="00890B0A" w:rsidRDefault="00890B0A" w:rsidP="00356731">
      <w:pPr>
        <w:rPr>
          <w:rFonts w:ascii="Times New Roman" w:hAnsi="Times New Roman" w:cs="Times New Roman"/>
          <w:sz w:val="24"/>
          <w:szCs w:val="24"/>
        </w:rPr>
        <w:sectPr w:rsidR="00890B0A" w:rsidSect="00890B0A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x+1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2x+2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=2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+4x+</m:t>
          </m:r>
          <m:r>
            <w:rPr>
              <w:rFonts w:ascii="Cambria Math" w:hAnsi="Cambria Math" w:cs="Times New Roman"/>
              <w:sz w:val="24"/>
              <w:szCs w:val="24"/>
            </w:rPr>
            <m:t>2</m:t>
          </m:r>
        </m:oMath>
      </m:oMathPara>
    </w:p>
    <w:p w:rsidR="00356731" w:rsidRDefault="00356731" w:rsidP="00356731">
      <w:pPr>
        <w:rPr>
          <w:rFonts w:ascii="Times New Roman" w:hAnsi="Times New Roman" w:cs="Times New Roman"/>
          <w:sz w:val="24"/>
          <w:szCs w:val="24"/>
        </w:rPr>
      </w:pPr>
    </w:p>
    <w:p w:rsidR="00890B0A" w:rsidRPr="00890B0A" w:rsidRDefault="00890B0A" w:rsidP="00890B0A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Produkte</w:t>
      </w:r>
      <w:r w:rsidRPr="00890B0A">
        <w:rPr>
          <w:rFonts w:ascii="Times New Roman" w:hAnsi="Times New Roman" w:cs="Times New Roman"/>
          <w:b/>
          <w:sz w:val="24"/>
          <w:szCs w:val="24"/>
        </w:rPr>
        <w:t xml:space="preserve"> von Summen</w:t>
      </w:r>
      <w:r w:rsidR="007C44E3">
        <w:rPr>
          <w:rFonts w:ascii="Times New Roman" w:hAnsi="Times New Roman" w:cs="Times New Roman"/>
          <w:b/>
          <w:sz w:val="24"/>
          <w:szCs w:val="24"/>
        </w:rPr>
        <w:t xml:space="preserve"> für Einsteiger</w:t>
      </w:r>
    </w:p>
    <w:p w:rsidR="00890B0A" w:rsidRDefault="00890B0A" w:rsidP="007C44E3">
      <w:pPr>
        <w:pStyle w:val="Listenabsatz"/>
        <w:rPr>
          <w:oMath/>
          <w:rFonts w:ascii="Cambria Math" w:hAnsi="Cambria Math" w:cs="Times New Roman"/>
          <w:sz w:val="24"/>
          <w:szCs w:val="24"/>
        </w:rPr>
        <w:sectPr w:rsidR="00890B0A" w:rsidSect="00890B0A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Multipliziert mit Hilfe der grünen Puzzleteile (Umschlag 1) nun die folgenden Su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men</w:t>
      </w:r>
      <w:r w:rsidR="00E70C8F">
        <w:rPr>
          <w:rFonts w:ascii="Times New Roman" w:hAnsi="Times New Roman" w:cs="Times New Roman"/>
          <w:sz w:val="24"/>
          <w:szCs w:val="24"/>
        </w:rPr>
        <w:t>produkte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90B0A" w:rsidRPr="007C44E3" w:rsidRDefault="00890B0A" w:rsidP="00890B0A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2+x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∙(x+3)</m:t>
        </m:r>
      </m:oMath>
      <w:r w:rsidRPr="007C44E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C44E3"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 w:rsidR="007C44E3"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 w:rsidR="007C44E3">
        <w:rPr>
          <w:rFonts w:ascii="Times New Roman" w:eastAsiaTheme="minorEastAsia" w:hAnsi="Times New Roman" w:cs="Times New Roman"/>
          <w:sz w:val="24"/>
          <w:szCs w:val="24"/>
        </w:rPr>
        <w:tab/>
        <w:t xml:space="preserve"> (4)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3+x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∙(2+3x)</m:t>
        </m:r>
      </m:oMath>
    </w:p>
    <w:p w:rsidR="00890B0A" w:rsidRPr="007C44E3" w:rsidRDefault="00890B0A" w:rsidP="00890B0A">
      <w:pPr>
        <w:pStyle w:val="Listenabsatz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x+3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3+x</m:t>
            </m:r>
          </m:e>
        </m:d>
      </m:oMath>
      <w:r w:rsidR="007C44E3"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 w:rsidR="007C44E3"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 w:rsidR="007C44E3">
        <w:rPr>
          <w:rFonts w:ascii="Times New Roman" w:eastAsiaTheme="minorEastAsia" w:hAnsi="Times New Roman" w:cs="Times New Roman"/>
          <w:sz w:val="24"/>
          <w:szCs w:val="24"/>
        </w:rPr>
        <w:tab/>
        <w:t xml:space="preserve"> (5)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3+x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x+2</m:t>
            </m:r>
          </m:e>
        </m:d>
      </m:oMath>
    </w:p>
    <w:p w:rsidR="00890B0A" w:rsidRDefault="00890B0A" w:rsidP="00890B0A">
      <w:pPr>
        <w:pStyle w:val="Listenabsatz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2x+1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x+2</m:t>
            </m:r>
          </m:e>
        </m:d>
      </m:oMath>
      <w:r w:rsidR="007C44E3"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 w:rsidR="007C44E3"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 w:rsidR="007C44E3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r w:rsidR="007C44E3" w:rsidRPr="007C44E3">
        <w:rPr>
          <w:rFonts w:ascii="Times New Roman" w:eastAsiaTheme="minorEastAsia" w:hAnsi="Times New Roman" w:cs="Times New Roman"/>
          <w:sz w:val="24"/>
          <w:szCs w:val="24"/>
        </w:rPr>
        <w:t xml:space="preserve">(6)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x+1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</w:p>
    <w:p w:rsidR="007C44E3" w:rsidRDefault="007C44E3" w:rsidP="007C44E3">
      <w:pPr>
        <w:ind w:left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Achtet dabei auf das korrekte Legen der Teile. Fasst dann so weit wie möglich z</w:t>
      </w:r>
      <w:r>
        <w:rPr>
          <w:rFonts w:ascii="Times New Roman" w:eastAsiaTheme="minorEastAsia" w:hAnsi="Times New Roman" w:cs="Times New Roman"/>
          <w:sz w:val="24"/>
          <w:szCs w:val="24"/>
        </w:rPr>
        <w:t>u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sammen. </w:t>
      </w:r>
    </w:p>
    <w:p w:rsidR="007C44E3" w:rsidRDefault="007C44E3" w:rsidP="007C44E3">
      <w:pPr>
        <w:ind w:left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Vergleicht die Ergebnisse miteinander. Was fällt Euch auf?</w:t>
      </w:r>
    </w:p>
    <w:p w:rsidR="007C44E3" w:rsidRPr="007C44E3" w:rsidRDefault="007C44E3" w:rsidP="007C44E3">
      <w:pPr>
        <w:pStyle w:val="Listenabsatz"/>
        <w:numPr>
          <w:ilvl w:val="0"/>
          <w:numId w:val="1"/>
        </w:num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C44E3">
        <w:rPr>
          <w:rFonts w:ascii="Times New Roman" w:eastAsiaTheme="minorEastAsia" w:hAnsi="Times New Roman" w:cs="Times New Roman"/>
          <w:b/>
          <w:sz w:val="24"/>
          <w:szCs w:val="24"/>
        </w:rPr>
        <w:t xml:space="preserve">Produkte von Summen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für Fortgeschrittene</w:t>
      </w:r>
    </w:p>
    <w:p w:rsidR="007C44E3" w:rsidRDefault="007C44E3" w:rsidP="007C44E3">
      <w:pPr>
        <w:pStyle w:val="Listenabsatz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Mit den Puzzleteilen kann man auch negative Zahlen und Differenzen darstellen. Dazu benötigt Ihr nun auch die roten Puzzleteile (Umschlag 2). So lässt sich zum Beispiel der Term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(x-2)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mit einem grünen x-Streifen und zwei roten 1-Kästchen darstellen und für den Term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(3-2x)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benötigt man drei grüne 1-Kästchen und zwei rote x-Streifen.</w:t>
      </w:r>
    </w:p>
    <w:p w:rsidR="007C44E3" w:rsidRDefault="00E70C8F" w:rsidP="007C44E3">
      <w:pPr>
        <w:pStyle w:val="Listenabsatz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Berechnet nun mit Hilfe von grünen und roten Puzzleteilen die folgenden Produkte:</w:t>
      </w:r>
    </w:p>
    <w:p w:rsidR="00E70C8F" w:rsidRPr="007C44E3" w:rsidRDefault="00E70C8F" w:rsidP="00E70C8F">
      <w:pPr>
        <w:pStyle w:val="Listenabsatz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2+x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∙(x</m:t>
        </m:r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Cambria Math" w:cs="Times New Roman"/>
            <w:sz w:val="24"/>
            <w:szCs w:val="24"/>
          </w:rPr>
          <m:t>3)</m:t>
        </m:r>
      </m:oMath>
      <w:r w:rsidRPr="007C44E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(4)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3+x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∙(2</m:t>
        </m:r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Cambria Math" w:cs="Times New Roman"/>
            <w:sz w:val="24"/>
            <w:szCs w:val="24"/>
          </w:rPr>
          <m:t>3x)</m:t>
        </m:r>
      </m:oMath>
    </w:p>
    <w:p w:rsidR="00E70C8F" w:rsidRPr="007C44E3" w:rsidRDefault="00E70C8F" w:rsidP="00E70C8F">
      <w:pPr>
        <w:pStyle w:val="Listenabsatz"/>
        <w:numPr>
          <w:ilvl w:val="0"/>
          <w:numId w:val="3"/>
        </w:numPr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x+3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3+x</m:t>
            </m:r>
          </m:e>
        </m:d>
      </m:oMath>
      <w:r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(5)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d>
      </m:oMath>
    </w:p>
    <w:p w:rsidR="00E70C8F" w:rsidRDefault="00E70C8F" w:rsidP="00E70C8F">
      <w:pPr>
        <w:pStyle w:val="Listenabsatz"/>
        <w:numPr>
          <w:ilvl w:val="0"/>
          <w:numId w:val="3"/>
        </w:numPr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2x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x+2</m:t>
            </m:r>
          </m:e>
        </m:d>
      </m:oMath>
      <w:r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C44E3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r w:rsidRPr="007C44E3">
        <w:rPr>
          <w:rFonts w:ascii="Times New Roman" w:eastAsiaTheme="minorEastAsia" w:hAnsi="Times New Roman" w:cs="Times New Roman"/>
          <w:sz w:val="24"/>
          <w:szCs w:val="24"/>
        </w:rPr>
        <w:t xml:space="preserve">(6)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</w:p>
    <w:p w:rsidR="00E70C8F" w:rsidRPr="00E70C8F" w:rsidRDefault="00E70C8F" w:rsidP="00E70C8F">
      <w:pPr>
        <w:spacing w:after="0"/>
        <w:ind w:left="708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70C8F">
        <w:rPr>
          <w:rFonts w:ascii="Times New Roman" w:eastAsiaTheme="minorEastAsia" w:hAnsi="Times New Roman" w:cs="Times New Roman"/>
          <w:b/>
          <w:sz w:val="24"/>
          <w:szCs w:val="24"/>
        </w:rPr>
        <w:t>BEACHTET:</w:t>
      </w:r>
    </w:p>
    <w:p w:rsidR="00E70C8F" w:rsidRPr="00E70C8F" w:rsidRDefault="00E70C8F" w:rsidP="00E70C8F">
      <w:pPr>
        <w:spacing w:after="0"/>
        <w:ind w:left="708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Grüne und rote Puzzleteile der gleichen Art im Ergebnisfeld ergeben zusammeng</w:t>
      </w:r>
      <w:r>
        <w:rPr>
          <w:rFonts w:ascii="Times New Roman" w:eastAsiaTheme="minorEastAsia" w:hAnsi="Times New Roman" w:cs="Times New Roman"/>
          <w:sz w:val="24"/>
          <w:szCs w:val="24"/>
        </w:rPr>
        <w:t>e</w:t>
      </w:r>
      <w:r>
        <w:rPr>
          <w:rFonts w:ascii="Times New Roman" w:eastAsiaTheme="minorEastAsia" w:hAnsi="Times New Roman" w:cs="Times New Roman"/>
          <w:sz w:val="24"/>
          <w:szCs w:val="24"/>
        </w:rPr>
        <w:t>fasst Null!! Man kann sie also vor dem Zusammenfassen paarweise wegnehmen.</w:t>
      </w:r>
    </w:p>
    <w:sectPr w:rsidR="00E70C8F" w:rsidRPr="00E70C8F" w:rsidSect="007C44E3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7601F"/>
    <w:multiLevelType w:val="hybridMultilevel"/>
    <w:tmpl w:val="AB544BEE"/>
    <w:lvl w:ilvl="0" w:tplc="04070015">
      <w:start w:val="1"/>
      <w:numFmt w:val="decimal"/>
      <w:lvlText w:val="(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70805AA"/>
    <w:multiLevelType w:val="hybridMultilevel"/>
    <w:tmpl w:val="7ED2AC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37FF6"/>
    <w:multiLevelType w:val="hybridMultilevel"/>
    <w:tmpl w:val="AB544BEE"/>
    <w:lvl w:ilvl="0" w:tplc="04070015">
      <w:start w:val="1"/>
      <w:numFmt w:val="decimal"/>
      <w:lvlText w:val="(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356731"/>
    <w:rsid w:val="000F1FC1"/>
    <w:rsid w:val="00356731"/>
    <w:rsid w:val="007C44E3"/>
    <w:rsid w:val="00890B0A"/>
    <w:rsid w:val="00E70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1F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6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673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356731"/>
    <w:rPr>
      <w:color w:val="808080"/>
    </w:rPr>
  </w:style>
  <w:style w:type="paragraph" w:styleId="Listenabsatz">
    <w:name w:val="List Paragraph"/>
    <w:basedOn w:val="Standard"/>
    <w:uiPriority w:val="34"/>
    <w:qFormat/>
    <w:rsid w:val="00890B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 Erdmannsdorff</dc:creator>
  <cp:lastModifiedBy>von Erdmannsdorff</cp:lastModifiedBy>
  <cp:revision>1</cp:revision>
  <dcterms:created xsi:type="dcterms:W3CDTF">2015-08-30T11:28:00Z</dcterms:created>
  <dcterms:modified xsi:type="dcterms:W3CDTF">2015-08-30T12:08:00Z</dcterms:modified>
</cp:coreProperties>
</file>