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C87" w:rsidRPr="00CD58DD" w:rsidRDefault="00CD58DD" w:rsidP="000E5093">
      <w:pPr>
        <w:ind w:right="1188"/>
        <w:rPr>
          <w:rFonts w:ascii="Arial" w:hAnsi="Arial" w:cs="Arial"/>
          <w:b/>
          <w:sz w:val="28"/>
          <w:szCs w:val="28"/>
        </w:rPr>
      </w:pPr>
      <w:r>
        <w:rPr>
          <w:rFonts w:ascii="Arial" w:hAnsi="Arial" w:cs="Arial"/>
          <w:b/>
          <w:sz w:val="28"/>
          <w:szCs w:val="28"/>
        </w:rPr>
        <w:t>Entwicklung der Weltbevölkerungszahl</w:t>
      </w:r>
    </w:p>
    <w:p w:rsidR="00394BA5" w:rsidRDefault="00394BA5" w:rsidP="00394BA5">
      <w:pPr>
        <w:spacing w:after="0"/>
      </w:pPr>
      <w:r>
        <w:rPr>
          <w:noProof/>
          <w:lang w:eastAsia="de-DE"/>
        </w:rPr>
        <w:drawing>
          <wp:inline distT="0" distB="0" distL="0" distR="0" wp14:anchorId="6C81CD81" wp14:editId="4AB5C453">
            <wp:extent cx="5760720" cy="321119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60720" cy="3211195"/>
                    </a:xfrm>
                    <a:prstGeom prst="rect">
                      <a:avLst/>
                    </a:prstGeom>
                  </pic:spPr>
                </pic:pic>
              </a:graphicData>
            </a:graphic>
          </wp:inline>
        </w:drawing>
      </w:r>
    </w:p>
    <w:p w:rsidR="007713D2" w:rsidRPr="007713D2" w:rsidRDefault="007713D2" w:rsidP="007713D2">
      <w:pPr>
        <w:spacing w:after="0"/>
        <w:rPr>
          <w:rFonts w:ascii="Arial" w:hAnsi="Arial" w:cs="Arial"/>
          <w:bCs/>
          <w:sz w:val="24"/>
          <w:szCs w:val="24"/>
        </w:rPr>
      </w:pPr>
      <w:r w:rsidRPr="007713D2">
        <w:rPr>
          <w:rFonts w:ascii="Arial" w:hAnsi="Arial" w:cs="Arial"/>
          <w:bCs/>
          <w:sz w:val="24"/>
          <w:szCs w:val="24"/>
        </w:rPr>
        <w:t>Am 24.2.2019 noch zu finden unter</w:t>
      </w:r>
    </w:p>
    <w:p w:rsidR="007713D2" w:rsidRDefault="00286A30" w:rsidP="007713D2">
      <w:pPr>
        <w:spacing w:after="0"/>
        <w:rPr>
          <w:rFonts w:ascii="Helvetica" w:hAnsi="Helvetica"/>
          <w:sz w:val="20"/>
          <w:szCs w:val="20"/>
        </w:rPr>
      </w:pPr>
      <w:hyperlink r:id="rId5" w:tgtFrame="_blank" w:history="1">
        <w:r w:rsidR="007713D2">
          <w:rPr>
            <w:rStyle w:val="Hyperlink"/>
            <w:rFonts w:ascii="Helvetica" w:hAnsi="Helvetica"/>
            <w:b/>
            <w:bCs/>
          </w:rPr>
          <w:t>https://de.statista.com/statistik/daten/studie/1694/umfrage/entwicklung-der-weltbevoelkerungszahl/</w:t>
        </w:r>
      </w:hyperlink>
    </w:p>
    <w:p w:rsidR="00394BA5" w:rsidRDefault="007713D2" w:rsidP="00CD58DD">
      <w:r>
        <w:t xml:space="preserve">Für den Kontakt: </w:t>
      </w:r>
      <w:hyperlink r:id="rId6" w:history="1">
        <w:r w:rsidR="00394BA5" w:rsidRPr="00B3340F">
          <w:rPr>
            <w:rStyle w:val="Hyperlink"/>
          </w:rPr>
          <w:t>kundenservice@statista.com</w:t>
        </w:r>
      </w:hyperlink>
    </w:p>
    <w:p w:rsidR="00394BA5" w:rsidRDefault="00394BA5" w:rsidP="000E5093">
      <w:pPr>
        <w:ind w:right="54"/>
        <w:rPr>
          <w:rFonts w:ascii="Arial" w:hAnsi="Arial" w:cs="Arial"/>
          <w:sz w:val="24"/>
          <w:szCs w:val="24"/>
        </w:rPr>
      </w:pPr>
      <w:r>
        <w:rPr>
          <w:rFonts w:ascii="Arial" w:hAnsi="Arial" w:cs="Arial"/>
          <w:sz w:val="24"/>
          <w:szCs w:val="24"/>
        </w:rPr>
        <w:t>Abgebildet ist eine klassische logistische Kurve: Zu Beginn hat sie niedrige Werte und ein schwaches Wachstum. Die Zunahme wächst bis zur Trendwende (mathematisch: Wendepunkt). Ab da nimmt das Wachstum ab</w:t>
      </w:r>
      <w:r w:rsidR="000E5093">
        <w:rPr>
          <w:rFonts w:ascii="Arial" w:hAnsi="Arial" w:cs="Arial"/>
          <w:sz w:val="24"/>
          <w:szCs w:val="24"/>
        </w:rPr>
        <w:t xml:space="preserve"> und geht gegen Null, die Größe nimmt noch zu</w:t>
      </w:r>
      <w:r>
        <w:rPr>
          <w:rFonts w:ascii="Arial" w:hAnsi="Arial" w:cs="Arial"/>
          <w:sz w:val="24"/>
          <w:szCs w:val="24"/>
        </w:rPr>
        <w:t xml:space="preserve"> und nähert sich einer Grenze</w:t>
      </w:r>
      <w:r w:rsidR="000E5093">
        <w:rPr>
          <w:rFonts w:ascii="Arial" w:hAnsi="Arial" w:cs="Arial"/>
          <w:sz w:val="24"/>
          <w:szCs w:val="24"/>
        </w:rPr>
        <w:t>.</w:t>
      </w:r>
      <w:r>
        <w:rPr>
          <w:rFonts w:ascii="Arial" w:hAnsi="Arial" w:cs="Arial"/>
          <w:sz w:val="24"/>
          <w:szCs w:val="24"/>
        </w:rPr>
        <w:t xml:space="preserve"> </w:t>
      </w:r>
    </w:p>
    <w:p w:rsidR="00394BA5" w:rsidRDefault="00394BA5" w:rsidP="000E5093">
      <w:pPr>
        <w:spacing w:after="0"/>
        <w:ind w:right="54"/>
        <w:rPr>
          <w:rFonts w:ascii="Arial" w:hAnsi="Arial" w:cs="Arial"/>
          <w:sz w:val="24"/>
          <w:szCs w:val="24"/>
        </w:rPr>
      </w:pPr>
      <w:r>
        <w:rPr>
          <w:rFonts w:ascii="Arial" w:hAnsi="Arial" w:cs="Arial"/>
          <w:sz w:val="24"/>
          <w:szCs w:val="24"/>
        </w:rPr>
        <w:t>1. Lies den Startzeitpunkt und die Bevölkerungszahl dort ab.</w:t>
      </w:r>
    </w:p>
    <w:p w:rsidR="00394BA5" w:rsidRDefault="00394BA5" w:rsidP="000E5093">
      <w:pPr>
        <w:spacing w:after="0"/>
        <w:ind w:right="54"/>
        <w:rPr>
          <w:rFonts w:ascii="Arial" w:hAnsi="Arial" w:cs="Arial"/>
          <w:sz w:val="24"/>
          <w:szCs w:val="24"/>
        </w:rPr>
      </w:pPr>
      <w:r>
        <w:rPr>
          <w:rFonts w:ascii="Arial" w:hAnsi="Arial" w:cs="Arial"/>
          <w:sz w:val="24"/>
          <w:szCs w:val="24"/>
        </w:rPr>
        <w:t>2. Wann etwa liegt die Trendwende und bei welcher Bevölkerungszahl?</w:t>
      </w:r>
    </w:p>
    <w:p w:rsidR="00394BA5" w:rsidRDefault="0020596E" w:rsidP="000E5093">
      <w:pPr>
        <w:spacing w:after="0"/>
        <w:ind w:right="54"/>
        <w:rPr>
          <w:rFonts w:ascii="Arial" w:hAnsi="Arial" w:cs="Arial"/>
          <w:sz w:val="24"/>
          <w:szCs w:val="24"/>
        </w:rPr>
      </w:pPr>
      <w:r>
        <w:rPr>
          <w:rFonts w:ascii="Arial" w:hAnsi="Arial" w:cs="Arial"/>
          <w:sz w:val="24"/>
          <w:szCs w:val="24"/>
        </w:rPr>
        <w:t>3. Welche Z</w:t>
      </w:r>
      <w:r w:rsidR="00394BA5">
        <w:rPr>
          <w:rFonts w:ascii="Arial" w:hAnsi="Arial" w:cs="Arial"/>
          <w:sz w:val="24"/>
          <w:szCs w:val="24"/>
        </w:rPr>
        <w:t>ahl lässt sich als Grenze schätzen?</w:t>
      </w:r>
    </w:p>
    <w:p w:rsidR="0020596E" w:rsidRPr="00E9211A" w:rsidRDefault="0020596E" w:rsidP="000E5093">
      <w:pPr>
        <w:spacing w:after="0"/>
        <w:ind w:right="54"/>
        <w:rPr>
          <w:rFonts w:ascii="Arial" w:hAnsi="Arial" w:cs="Arial"/>
          <w:sz w:val="16"/>
          <w:szCs w:val="16"/>
        </w:rPr>
      </w:pPr>
    </w:p>
    <w:p w:rsidR="0020596E" w:rsidRDefault="0020596E" w:rsidP="000E5093">
      <w:pPr>
        <w:spacing w:after="0"/>
        <w:ind w:right="54"/>
        <w:rPr>
          <w:rFonts w:ascii="Arial" w:hAnsi="Arial" w:cs="Arial"/>
          <w:sz w:val="24"/>
          <w:szCs w:val="24"/>
        </w:rPr>
      </w:pPr>
      <w:proofErr w:type="spellStart"/>
      <w:r>
        <w:rPr>
          <w:rFonts w:ascii="Arial" w:hAnsi="Arial" w:cs="Arial"/>
          <w:sz w:val="24"/>
          <w:szCs w:val="24"/>
        </w:rPr>
        <w:t>Aaaaber</w:t>
      </w:r>
      <w:proofErr w:type="spellEnd"/>
      <w:r>
        <w:rPr>
          <w:rFonts w:ascii="Arial" w:hAnsi="Arial" w:cs="Arial"/>
          <w:sz w:val="24"/>
          <w:szCs w:val="24"/>
        </w:rPr>
        <w:t xml:space="preserve">: Achte auf die Zeitachse. </w:t>
      </w:r>
    </w:p>
    <w:p w:rsidR="0020596E" w:rsidRDefault="0020596E" w:rsidP="000E5093">
      <w:pPr>
        <w:spacing w:after="0"/>
        <w:ind w:right="54"/>
        <w:rPr>
          <w:rFonts w:ascii="Arial" w:hAnsi="Arial" w:cs="Arial"/>
          <w:sz w:val="24"/>
          <w:szCs w:val="24"/>
        </w:rPr>
      </w:pPr>
      <w:r>
        <w:rPr>
          <w:rFonts w:ascii="Arial" w:hAnsi="Arial" w:cs="Arial"/>
          <w:sz w:val="24"/>
          <w:szCs w:val="24"/>
        </w:rPr>
        <w:t>4. Notiere den Kardinalfehler für statistische Darstellungen.</w:t>
      </w:r>
    </w:p>
    <w:p w:rsidR="0020596E" w:rsidRDefault="0020596E" w:rsidP="000E5093">
      <w:pPr>
        <w:spacing w:after="0"/>
        <w:ind w:right="54"/>
        <w:rPr>
          <w:rFonts w:ascii="Arial" w:hAnsi="Arial" w:cs="Arial"/>
          <w:sz w:val="24"/>
          <w:szCs w:val="24"/>
        </w:rPr>
      </w:pPr>
      <w:r>
        <w:rPr>
          <w:rFonts w:ascii="Arial" w:hAnsi="Arial" w:cs="Arial"/>
          <w:sz w:val="24"/>
          <w:szCs w:val="24"/>
        </w:rPr>
        <w:t>5. Stelle – z.B. mit Excel – die Entwicklung richtig dar.</w:t>
      </w:r>
    </w:p>
    <w:p w:rsidR="0020596E" w:rsidRDefault="0020596E" w:rsidP="000E5093">
      <w:pPr>
        <w:spacing w:after="0"/>
        <w:ind w:right="54"/>
        <w:rPr>
          <w:rFonts w:ascii="Arial" w:hAnsi="Arial" w:cs="Arial"/>
          <w:sz w:val="24"/>
          <w:szCs w:val="24"/>
        </w:rPr>
      </w:pPr>
      <w:r>
        <w:rPr>
          <w:rFonts w:ascii="Arial" w:hAnsi="Arial" w:cs="Arial"/>
          <w:sz w:val="24"/>
          <w:szCs w:val="24"/>
        </w:rPr>
        <w:t>6. Wann liegen nun die Trendwende und welche Bevölkerungsgrenze ist abschätzbar?</w:t>
      </w:r>
    </w:p>
    <w:p w:rsidR="000E5093" w:rsidRDefault="000E5093" w:rsidP="000E5093">
      <w:pPr>
        <w:spacing w:after="0"/>
        <w:ind w:right="54"/>
        <w:rPr>
          <w:rFonts w:ascii="Arial" w:hAnsi="Arial" w:cs="Arial"/>
          <w:sz w:val="24"/>
          <w:szCs w:val="24"/>
        </w:rPr>
      </w:pPr>
      <w:r>
        <w:rPr>
          <w:rFonts w:ascii="Arial" w:hAnsi="Arial" w:cs="Arial"/>
          <w:sz w:val="24"/>
          <w:szCs w:val="24"/>
        </w:rPr>
        <w:t>7. Die Daten sind sehr ungleich über die Zeit verteilt. Zum besseren Überblick über die jüngere Entwicklung stelle die Daten ab 1950 neu in einem Diagramm dar. Ist in dem Diagramm eine Trendwende (und die anschließende Rechtskurve) erkennbar?</w:t>
      </w:r>
    </w:p>
    <w:p w:rsidR="0020596E" w:rsidRPr="00E9211A" w:rsidRDefault="0020596E" w:rsidP="000E5093">
      <w:pPr>
        <w:spacing w:after="0"/>
        <w:ind w:right="54"/>
        <w:rPr>
          <w:rFonts w:ascii="Arial" w:hAnsi="Arial" w:cs="Arial"/>
          <w:sz w:val="16"/>
          <w:szCs w:val="16"/>
        </w:rPr>
      </w:pPr>
    </w:p>
    <w:p w:rsidR="0020596E" w:rsidRDefault="000E5093" w:rsidP="000E5093">
      <w:pPr>
        <w:spacing w:after="0"/>
        <w:ind w:right="54"/>
        <w:rPr>
          <w:rFonts w:ascii="Arial" w:hAnsi="Arial" w:cs="Arial"/>
          <w:sz w:val="24"/>
          <w:szCs w:val="24"/>
        </w:rPr>
      </w:pPr>
      <w:r>
        <w:rPr>
          <w:rFonts w:ascii="Arial" w:hAnsi="Arial" w:cs="Arial"/>
          <w:sz w:val="24"/>
          <w:szCs w:val="24"/>
        </w:rPr>
        <w:t>8</w:t>
      </w:r>
      <w:r w:rsidR="0020596E">
        <w:rPr>
          <w:rFonts w:ascii="Arial" w:hAnsi="Arial" w:cs="Arial"/>
          <w:sz w:val="24"/>
          <w:szCs w:val="24"/>
        </w:rPr>
        <w:t xml:space="preserve">. Beurteile abschließend die grafische Darstellung von </w:t>
      </w:r>
      <w:proofErr w:type="spellStart"/>
      <w:r w:rsidR="0020596E">
        <w:rPr>
          <w:rFonts w:ascii="Arial" w:hAnsi="Arial" w:cs="Arial"/>
          <w:sz w:val="24"/>
          <w:szCs w:val="24"/>
        </w:rPr>
        <w:t>Statista</w:t>
      </w:r>
      <w:proofErr w:type="spellEnd"/>
      <w:r w:rsidR="0020596E">
        <w:rPr>
          <w:rFonts w:ascii="Arial" w:hAnsi="Arial" w:cs="Arial"/>
          <w:sz w:val="24"/>
          <w:szCs w:val="24"/>
        </w:rPr>
        <w:t>.</w:t>
      </w:r>
    </w:p>
    <w:p w:rsidR="00394BA5" w:rsidRDefault="00E9211A" w:rsidP="000E5093">
      <w:pPr>
        <w:spacing w:after="0"/>
        <w:ind w:right="54"/>
        <w:rPr>
          <w:rFonts w:ascii="Arial" w:hAnsi="Arial" w:cs="Arial"/>
          <w:sz w:val="24"/>
          <w:szCs w:val="24"/>
        </w:rPr>
      </w:pPr>
      <w:r>
        <w:rPr>
          <w:rFonts w:ascii="Arial" w:hAnsi="Arial" w:cs="Arial"/>
          <w:sz w:val="24"/>
          <w:szCs w:val="24"/>
        </w:rPr>
        <w:t xml:space="preserve">9. Excel bietet die Grafik oben auch an, allerdings mit folgendem Text: “Mit einem gruppierten Säulendiagramm können sie Werte zwischen einigen Rubriken vergleichen. Verwenden Sie diesen Diagrammtyp, wenn die Reihenfolge der Rubriken nicht von Bedeutung ist.“ Beurteile die Wahl dieses Diagrammtyps durch </w:t>
      </w:r>
      <w:proofErr w:type="spellStart"/>
      <w:r>
        <w:rPr>
          <w:rFonts w:ascii="Arial" w:hAnsi="Arial" w:cs="Arial"/>
          <w:sz w:val="24"/>
          <w:szCs w:val="24"/>
        </w:rPr>
        <w:t>Statista</w:t>
      </w:r>
      <w:proofErr w:type="spellEnd"/>
      <w:r>
        <w:rPr>
          <w:rFonts w:ascii="Arial" w:hAnsi="Arial" w:cs="Arial"/>
          <w:sz w:val="24"/>
          <w:szCs w:val="24"/>
        </w:rPr>
        <w:t>.</w:t>
      </w:r>
    </w:p>
    <w:p w:rsidR="00286A30" w:rsidRDefault="00286A30">
      <w:pPr>
        <w:rPr>
          <w:rFonts w:ascii="Arial" w:hAnsi="Arial" w:cs="Arial"/>
          <w:b/>
          <w:sz w:val="24"/>
          <w:szCs w:val="24"/>
        </w:rPr>
      </w:pPr>
      <w:r>
        <w:rPr>
          <w:rFonts w:ascii="Arial" w:hAnsi="Arial" w:cs="Arial"/>
          <w:b/>
          <w:sz w:val="24"/>
          <w:szCs w:val="24"/>
        </w:rPr>
        <w:br w:type="page"/>
      </w:r>
    </w:p>
    <w:p w:rsidR="00286A30" w:rsidRDefault="00286A30" w:rsidP="00286A30">
      <w:pPr>
        <w:spacing w:after="0"/>
        <w:ind w:right="54"/>
        <w:rPr>
          <w:rFonts w:ascii="Arial" w:hAnsi="Arial" w:cs="Arial"/>
          <w:b/>
          <w:sz w:val="24"/>
          <w:szCs w:val="24"/>
        </w:rPr>
      </w:pPr>
      <w:r>
        <w:rPr>
          <w:rFonts w:ascii="Arial" w:hAnsi="Arial" w:cs="Arial"/>
          <w:b/>
          <w:sz w:val="24"/>
          <w:szCs w:val="24"/>
        </w:rPr>
        <w:lastRenderedPageBreak/>
        <w:t>Bearbeitung zur Weltbevölkerungszahl</w:t>
      </w:r>
    </w:p>
    <w:p w:rsidR="00286A30" w:rsidRDefault="00286A30" w:rsidP="00286A30">
      <w:pPr>
        <w:spacing w:after="0"/>
        <w:ind w:right="54"/>
        <w:rPr>
          <w:rFonts w:ascii="Arial" w:hAnsi="Arial" w:cs="Arial"/>
          <w:sz w:val="24"/>
          <w:szCs w:val="24"/>
        </w:rPr>
      </w:pPr>
      <w:r>
        <w:rPr>
          <w:rFonts w:ascii="Arial" w:hAnsi="Arial" w:cs="Arial"/>
          <w:sz w:val="24"/>
          <w:szCs w:val="24"/>
        </w:rPr>
        <w:t>1. Im Jahr 0 gab es etwa 300 000 Menschen auf der Erde.</w:t>
      </w:r>
    </w:p>
    <w:p w:rsidR="00286A30" w:rsidRDefault="00286A30" w:rsidP="00286A30">
      <w:pPr>
        <w:spacing w:after="0"/>
        <w:ind w:right="54"/>
        <w:rPr>
          <w:rFonts w:ascii="Arial" w:hAnsi="Arial" w:cs="Arial"/>
          <w:sz w:val="24"/>
          <w:szCs w:val="24"/>
        </w:rPr>
      </w:pPr>
      <w:r>
        <w:rPr>
          <w:rFonts w:ascii="Arial" w:hAnsi="Arial" w:cs="Arial"/>
          <w:sz w:val="24"/>
          <w:szCs w:val="24"/>
        </w:rPr>
        <w:t>2. Die Trendwende war etwa 1980 mit knapp 4,5 Milliarden Menschen erreicht.</w:t>
      </w:r>
    </w:p>
    <w:p w:rsidR="00286A30" w:rsidRDefault="00286A30" w:rsidP="00286A30">
      <w:pPr>
        <w:spacing w:after="0"/>
        <w:ind w:right="54"/>
        <w:rPr>
          <w:rFonts w:ascii="Arial" w:hAnsi="Arial" w:cs="Arial"/>
          <w:sz w:val="24"/>
          <w:szCs w:val="24"/>
        </w:rPr>
      </w:pPr>
      <w:r>
        <w:rPr>
          <w:rFonts w:ascii="Arial" w:hAnsi="Arial" w:cs="Arial"/>
          <w:sz w:val="24"/>
          <w:szCs w:val="24"/>
        </w:rPr>
        <w:t>3. Die Grenze könnte bei etwa 6 Milliarden Menschen liegen.</w:t>
      </w:r>
    </w:p>
    <w:p w:rsidR="00286A30" w:rsidRDefault="00286A30" w:rsidP="00286A30">
      <w:pPr>
        <w:spacing w:after="0"/>
        <w:ind w:right="54"/>
        <w:rPr>
          <w:rFonts w:ascii="Arial" w:hAnsi="Arial" w:cs="Arial"/>
          <w:sz w:val="24"/>
          <w:szCs w:val="24"/>
        </w:rPr>
      </w:pPr>
      <w:r>
        <w:rPr>
          <w:rFonts w:ascii="Arial" w:hAnsi="Arial" w:cs="Arial"/>
          <w:sz w:val="24"/>
          <w:szCs w:val="24"/>
        </w:rPr>
        <w:t xml:space="preserve">4. Die Zeitachse weist bei jeweils gleichen cm-Abständen Sprünge von 1000 Jahren, dann von 250 Jahren, von 50, von 10, von 5 Jahren und zum Schluss von einem Jahr auf. Das bewirkt völlig falsche </w:t>
      </w:r>
      <w:proofErr w:type="spellStart"/>
      <w:r>
        <w:rPr>
          <w:rFonts w:ascii="Arial" w:hAnsi="Arial" w:cs="Arial"/>
          <w:sz w:val="24"/>
          <w:szCs w:val="24"/>
        </w:rPr>
        <w:t>Zunahmewahrnehmungen</w:t>
      </w:r>
      <w:proofErr w:type="spellEnd"/>
      <w:r>
        <w:rPr>
          <w:rFonts w:ascii="Arial" w:hAnsi="Arial" w:cs="Arial"/>
          <w:sz w:val="24"/>
          <w:szCs w:val="24"/>
        </w:rPr>
        <w:t>.</w:t>
      </w:r>
    </w:p>
    <w:p w:rsidR="00286A30" w:rsidRDefault="00286A30" w:rsidP="00286A30">
      <w:pPr>
        <w:spacing w:after="0"/>
        <w:ind w:right="54"/>
        <w:rPr>
          <w:rFonts w:ascii="Arial" w:hAnsi="Arial" w:cs="Arial"/>
          <w:sz w:val="24"/>
          <w:szCs w:val="24"/>
        </w:rPr>
      </w:pPr>
      <w:r>
        <w:rPr>
          <w:rFonts w:ascii="Arial" w:hAnsi="Arial" w:cs="Arial"/>
          <w:sz w:val="24"/>
          <w:szCs w:val="24"/>
        </w:rPr>
        <w:t>5.</w:t>
      </w:r>
    </w:p>
    <w:p w:rsidR="00286A30" w:rsidRDefault="00286A30" w:rsidP="00286A30">
      <w:pPr>
        <w:spacing w:after="0"/>
        <w:ind w:right="54"/>
        <w:rPr>
          <w:rFonts w:ascii="Arial" w:hAnsi="Arial" w:cs="Arial"/>
          <w:sz w:val="24"/>
          <w:szCs w:val="24"/>
        </w:rPr>
      </w:pPr>
      <w:r>
        <w:rPr>
          <w:noProof/>
          <w:lang w:eastAsia="de-DE"/>
        </w:rPr>
        <w:drawing>
          <wp:inline distT="0" distB="0" distL="0" distR="0" wp14:anchorId="5F35ADEA" wp14:editId="295DCB1E">
            <wp:extent cx="4572000" cy="2743200"/>
            <wp:effectExtent l="0" t="0" r="0" b="0"/>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86A30" w:rsidRDefault="00286A30" w:rsidP="00286A30">
      <w:pPr>
        <w:spacing w:after="0"/>
        <w:ind w:right="54"/>
        <w:rPr>
          <w:rFonts w:ascii="Arial" w:hAnsi="Arial" w:cs="Arial"/>
          <w:sz w:val="24"/>
          <w:szCs w:val="24"/>
        </w:rPr>
      </w:pPr>
    </w:p>
    <w:p w:rsidR="00286A30" w:rsidRDefault="00286A30" w:rsidP="00286A30">
      <w:pPr>
        <w:spacing w:after="0"/>
        <w:ind w:right="54"/>
        <w:rPr>
          <w:rFonts w:ascii="Arial" w:hAnsi="Arial" w:cs="Arial"/>
          <w:sz w:val="24"/>
          <w:szCs w:val="24"/>
        </w:rPr>
      </w:pPr>
      <w:r>
        <w:rPr>
          <w:rFonts w:ascii="Arial" w:hAnsi="Arial" w:cs="Arial"/>
          <w:sz w:val="24"/>
          <w:szCs w:val="24"/>
        </w:rPr>
        <w:t>6. Es ist keine Trendwende und auch keine obere Grenze erkennbar.</w:t>
      </w:r>
    </w:p>
    <w:p w:rsidR="00286A30" w:rsidRDefault="00286A30" w:rsidP="00286A30">
      <w:pPr>
        <w:spacing w:after="0"/>
        <w:ind w:right="54"/>
        <w:rPr>
          <w:rFonts w:ascii="Arial" w:hAnsi="Arial" w:cs="Arial"/>
          <w:sz w:val="24"/>
          <w:szCs w:val="24"/>
        </w:rPr>
      </w:pPr>
      <w:r>
        <w:rPr>
          <w:rFonts w:ascii="Arial" w:hAnsi="Arial" w:cs="Arial"/>
          <w:sz w:val="24"/>
          <w:szCs w:val="24"/>
        </w:rPr>
        <w:t>7.</w:t>
      </w:r>
    </w:p>
    <w:p w:rsidR="00286A30" w:rsidRDefault="00286A30" w:rsidP="00286A30">
      <w:pPr>
        <w:spacing w:after="0"/>
        <w:ind w:right="54"/>
        <w:rPr>
          <w:noProof/>
          <w:lang w:eastAsia="de-DE"/>
        </w:rPr>
      </w:pPr>
      <w:r w:rsidRPr="000E5093">
        <w:rPr>
          <w:noProof/>
          <w:lang w:eastAsia="de-DE"/>
        </w:rPr>
        <w:t xml:space="preserve"> </w:t>
      </w:r>
      <w:r>
        <w:rPr>
          <w:noProof/>
          <w:lang w:eastAsia="de-DE"/>
        </w:rPr>
        <w:drawing>
          <wp:inline distT="0" distB="0" distL="0" distR="0" wp14:anchorId="0E4600F6" wp14:editId="2E9FA6A6">
            <wp:extent cx="4724400" cy="2374900"/>
            <wp:effectExtent l="0" t="0" r="0" b="6350"/>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86A30" w:rsidRPr="006E7498" w:rsidRDefault="00286A30" w:rsidP="00286A30">
      <w:pPr>
        <w:spacing w:after="0"/>
        <w:ind w:right="54"/>
        <w:rPr>
          <w:rFonts w:ascii="Arial" w:hAnsi="Arial" w:cs="Arial"/>
          <w:noProof/>
          <w:sz w:val="24"/>
          <w:szCs w:val="24"/>
          <w:lang w:eastAsia="de-DE"/>
        </w:rPr>
      </w:pPr>
      <w:r w:rsidRPr="006E7498">
        <w:rPr>
          <w:rFonts w:ascii="Arial" w:hAnsi="Arial" w:cs="Arial"/>
          <w:noProof/>
          <w:sz w:val="24"/>
          <w:szCs w:val="24"/>
          <w:lang w:eastAsia="de-DE"/>
        </w:rPr>
        <w:t xml:space="preserve">Auch in dem </w:t>
      </w:r>
      <w:r>
        <w:rPr>
          <w:rFonts w:ascii="Arial" w:hAnsi="Arial" w:cs="Arial"/>
          <w:noProof/>
          <w:sz w:val="24"/>
          <w:szCs w:val="24"/>
          <w:lang w:eastAsia="de-DE"/>
        </w:rPr>
        <w:t>zeitengeren Diagramm ist keine Trendwende und keine Rechtskurve erkennbar. Evtl. geht die Linkskurve in eine Gerade über.</w:t>
      </w:r>
    </w:p>
    <w:p w:rsidR="00286A30" w:rsidRDefault="00286A30" w:rsidP="00286A30">
      <w:pPr>
        <w:spacing w:after="0"/>
        <w:ind w:right="54"/>
        <w:rPr>
          <w:rFonts w:ascii="Arial" w:hAnsi="Arial" w:cs="Arial"/>
          <w:sz w:val="24"/>
          <w:szCs w:val="24"/>
        </w:rPr>
      </w:pPr>
      <w:r>
        <w:rPr>
          <w:rFonts w:ascii="Arial" w:hAnsi="Arial" w:cs="Arial"/>
          <w:sz w:val="24"/>
          <w:szCs w:val="24"/>
        </w:rPr>
        <w:t xml:space="preserve">8. Die Darstellung durch </w:t>
      </w:r>
      <w:proofErr w:type="spellStart"/>
      <w:r>
        <w:rPr>
          <w:rFonts w:ascii="Arial" w:hAnsi="Arial" w:cs="Arial"/>
          <w:sz w:val="24"/>
          <w:szCs w:val="24"/>
        </w:rPr>
        <w:t>Statista</w:t>
      </w:r>
      <w:proofErr w:type="spellEnd"/>
      <w:r>
        <w:rPr>
          <w:rFonts w:ascii="Arial" w:hAnsi="Arial" w:cs="Arial"/>
          <w:sz w:val="24"/>
          <w:szCs w:val="24"/>
        </w:rPr>
        <w:t xml:space="preserve"> verzerrt die Bevölkerungsdaten so, dass ein völlig falscher Eindruck über die weitere Entwicklung entsteht. Die unzulässig verzerrte Grafik stellt die Bevölkerungsentwicklung verharmlosend dar. Bewusst so gewollt oder nur handwerklich </w:t>
      </w:r>
      <w:proofErr w:type="gramStart"/>
      <w:r>
        <w:rPr>
          <w:rFonts w:ascii="Arial" w:hAnsi="Arial" w:cs="Arial"/>
          <w:sz w:val="24"/>
          <w:szCs w:val="24"/>
        </w:rPr>
        <w:t>schlecht gemacht</w:t>
      </w:r>
      <w:proofErr w:type="gramEnd"/>
      <w:r>
        <w:rPr>
          <w:rFonts w:ascii="Arial" w:hAnsi="Arial" w:cs="Arial"/>
          <w:sz w:val="24"/>
          <w:szCs w:val="24"/>
        </w:rPr>
        <w:t>?</w:t>
      </w:r>
    </w:p>
    <w:p w:rsidR="00CD58DD" w:rsidRPr="00286A30" w:rsidRDefault="00286A30" w:rsidP="00286A30">
      <w:pPr>
        <w:rPr>
          <w:rFonts w:ascii="Arial" w:hAnsi="Arial" w:cs="Arial"/>
          <w:sz w:val="24"/>
          <w:szCs w:val="24"/>
        </w:rPr>
      </w:pPr>
      <w:r w:rsidRPr="00EE01F5">
        <w:rPr>
          <w:rFonts w:ascii="Arial" w:hAnsi="Arial" w:cs="Arial"/>
          <w:sz w:val="24"/>
          <w:szCs w:val="24"/>
        </w:rPr>
        <w:t xml:space="preserve">9. </w:t>
      </w:r>
      <w:proofErr w:type="spellStart"/>
      <w:r>
        <w:rPr>
          <w:rFonts w:ascii="Arial" w:hAnsi="Arial" w:cs="Arial"/>
          <w:sz w:val="24"/>
          <w:szCs w:val="24"/>
        </w:rPr>
        <w:t>Statista</w:t>
      </w:r>
      <w:proofErr w:type="spellEnd"/>
      <w:r>
        <w:rPr>
          <w:rFonts w:ascii="Arial" w:hAnsi="Arial" w:cs="Arial"/>
          <w:sz w:val="24"/>
          <w:szCs w:val="24"/>
        </w:rPr>
        <w:t xml:space="preserve"> hat diesen Diagrammtyp falsch gewählt, denn die Reihenfolge der Rubriken hat hier eine Bedeutung: Es sind Zeitangaben! Die Nichtbeachtung dieser Bedeutung macht die Grafik irreführend.</w:t>
      </w:r>
      <w:bookmarkStart w:id="0" w:name="_GoBack"/>
      <w:bookmarkEnd w:id="0"/>
    </w:p>
    <w:sectPr w:rsidR="00CD58DD" w:rsidRPr="00286A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BA5"/>
    <w:rsid w:val="00035A1A"/>
    <w:rsid w:val="000E5093"/>
    <w:rsid w:val="001F1952"/>
    <w:rsid w:val="0020596E"/>
    <w:rsid w:val="00286A30"/>
    <w:rsid w:val="00394BA5"/>
    <w:rsid w:val="00694C87"/>
    <w:rsid w:val="006E7498"/>
    <w:rsid w:val="007713D2"/>
    <w:rsid w:val="00985099"/>
    <w:rsid w:val="00B371F6"/>
    <w:rsid w:val="00CD58DD"/>
    <w:rsid w:val="00E921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C4DB"/>
  <w15:chartTrackingRefBased/>
  <w15:docId w15:val="{31D22E74-998F-495C-B1DA-34576263F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94BA5"/>
    <w:rPr>
      <w:color w:val="0563C1" w:themeColor="hyperlink"/>
      <w:u w:val="single"/>
    </w:rPr>
  </w:style>
  <w:style w:type="paragraph" w:styleId="Listenabsatz">
    <w:name w:val="List Paragraph"/>
    <w:basedOn w:val="Standard"/>
    <w:uiPriority w:val="34"/>
    <w:qFormat/>
    <w:rsid w:val="00394BA5"/>
    <w:pPr>
      <w:ind w:left="720"/>
      <w:contextualSpacing/>
    </w:pPr>
  </w:style>
  <w:style w:type="paragraph" w:styleId="Sprechblasentext">
    <w:name w:val="Balloon Text"/>
    <w:basedOn w:val="Standard"/>
    <w:link w:val="SprechblasentextZchn"/>
    <w:uiPriority w:val="99"/>
    <w:semiHidden/>
    <w:unhideWhenUsed/>
    <w:rsid w:val="00394B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4B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87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undenservice@statista.com" TargetMode="External"/><Relationship Id="rId5" Type="http://schemas.openxmlformats.org/officeDocument/2006/relationships/hyperlink" Target="https://de.statista.com/statistik/daten/studie/1694/umfrage/entwicklung-der-weltbevoelkerungszahl/"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Arbeitsblat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Weltbevölkerung (in Milliarden) </a:t>
            </a:r>
          </a:p>
          <a:p>
            <a:pPr>
              <a:defRPr/>
            </a:pPr>
            <a:r>
              <a:rPr lang="de-DE"/>
              <a:t>in Abhängigkeit von der Zeit (in Jahren)</a:t>
            </a:r>
          </a:p>
        </c:rich>
      </c:tx>
      <c:layout>
        <c:manualLayout>
          <c:xMode val="edge"/>
          <c:yMode val="edge"/>
          <c:x val="0.18116666666666664"/>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Tabelle1!$A$1:$A$19</c:f>
              <c:numCache>
                <c:formatCode>General</c:formatCode>
                <c:ptCount val="19"/>
                <c:pt idx="0">
                  <c:v>0</c:v>
                </c:pt>
                <c:pt idx="1">
                  <c:v>1000</c:v>
                </c:pt>
                <c:pt idx="2">
                  <c:v>1250</c:v>
                </c:pt>
                <c:pt idx="3">
                  <c:v>1500</c:v>
                </c:pt>
                <c:pt idx="4">
                  <c:v>1750</c:v>
                </c:pt>
                <c:pt idx="5">
                  <c:v>1800</c:v>
                </c:pt>
                <c:pt idx="6">
                  <c:v>1850</c:v>
                </c:pt>
                <c:pt idx="7">
                  <c:v>1900</c:v>
                </c:pt>
                <c:pt idx="8">
                  <c:v>1950</c:v>
                </c:pt>
                <c:pt idx="9">
                  <c:v>1960</c:v>
                </c:pt>
                <c:pt idx="10">
                  <c:v>1970</c:v>
                </c:pt>
                <c:pt idx="11">
                  <c:v>1980</c:v>
                </c:pt>
                <c:pt idx="12">
                  <c:v>1990</c:v>
                </c:pt>
                <c:pt idx="13">
                  <c:v>2000</c:v>
                </c:pt>
                <c:pt idx="14">
                  <c:v>2005</c:v>
                </c:pt>
                <c:pt idx="15">
                  <c:v>2010</c:v>
                </c:pt>
                <c:pt idx="16">
                  <c:v>2015</c:v>
                </c:pt>
                <c:pt idx="17">
                  <c:v>2016</c:v>
                </c:pt>
                <c:pt idx="18">
                  <c:v>2017</c:v>
                </c:pt>
              </c:numCache>
            </c:numRef>
          </c:xVal>
          <c:yVal>
            <c:numRef>
              <c:f>Tabelle1!$B$1:$B$19</c:f>
              <c:numCache>
                <c:formatCode>General</c:formatCode>
                <c:ptCount val="19"/>
                <c:pt idx="0">
                  <c:v>0.3</c:v>
                </c:pt>
                <c:pt idx="1">
                  <c:v>0.31</c:v>
                </c:pt>
                <c:pt idx="2">
                  <c:v>0.4</c:v>
                </c:pt>
                <c:pt idx="3">
                  <c:v>0.5</c:v>
                </c:pt>
                <c:pt idx="4">
                  <c:v>0.79</c:v>
                </c:pt>
                <c:pt idx="5">
                  <c:v>0.98</c:v>
                </c:pt>
                <c:pt idx="6">
                  <c:v>1.26</c:v>
                </c:pt>
                <c:pt idx="7">
                  <c:v>1.65</c:v>
                </c:pt>
                <c:pt idx="8">
                  <c:v>2.54</c:v>
                </c:pt>
                <c:pt idx="9">
                  <c:v>3.03</c:v>
                </c:pt>
                <c:pt idx="10">
                  <c:v>3.7</c:v>
                </c:pt>
                <c:pt idx="11">
                  <c:v>4.46</c:v>
                </c:pt>
                <c:pt idx="12">
                  <c:v>5.33</c:v>
                </c:pt>
                <c:pt idx="13">
                  <c:v>6.15</c:v>
                </c:pt>
                <c:pt idx="14">
                  <c:v>6.54</c:v>
                </c:pt>
                <c:pt idx="15">
                  <c:v>6.96</c:v>
                </c:pt>
                <c:pt idx="16">
                  <c:v>7.38</c:v>
                </c:pt>
                <c:pt idx="17">
                  <c:v>7.47</c:v>
                </c:pt>
                <c:pt idx="18">
                  <c:v>7.55</c:v>
                </c:pt>
              </c:numCache>
            </c:numRef>
          </c:yVal>
          <c:smooth val="0"/>
          <c:extLst>
            <c:ext xmlns:c16="http://schemas.microsoft.com/office/drawing/2014/chart" uri="{C3380CC4-5D6E-409C-BE32-E72D297353CC}">
              <c16:uniqueId val="{00000000-54DD-4EB4-B778-7828EE51A492}"/>
            </c:ext>
          </c:extLst>
        </c:ser>
        <c:dLbls>
          <c:showLegendKey val="0"/>
          <c:showVal val="0"/>
          <c:showCatName val="0"/>
          <c:showSerName val="0"/>
          <c:showPercent val="0"/>
          <c:showBubbleSize val="0"/>
        </c:dLbls>
        <c:axId val="413736040"/>
        <c:axId val="413733416"/>
      </c:scatterChart>
      <c:valAx>
        <c:axId val="4137360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13733416"/>
        <c:crosses val="autoZero"/>
        <c:crossBetween val="midCat"/>
      </c:valAx>
      <c:valAx>
        <c:axId val="413733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1373604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de-DE"/>
              <a:t>Weltbevölkerung (in Milliarden)</a:t>
            </a:r>
          </a:p>
          <a:p>
            <a:pPr algn="ctr">
              <a:defRPr/>
            </a:pPr>
            <a:r>
              <a:rPr lang="de-DE"/>
              <a:t>in Abhängigkeit von der Zeit (in Jahren)</a:t>
            </a:r>
          </a:p>
        </c:rich>
      </c:tx>
      <c:layout>
        <c:manualLayout>
          <c:xMode val="edge"/>
          <c:yMode val="edge"/>
          <c:x val="0.1843193350831146"/>
          <c:y val="3.7037037037037035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Tabelle1!$A$1:$A$11</c:f>
              <c:numCache>
                <c:formatCode>General</c:formatCode>
                <c:ptCount val="11"/>
                <c:pt idx="0">
                  <c:v>1950</c:v>
                </c:pt>
                <c:pt idx="1">
                  <c:v>1960</c:v>
                </c:pt>
                <c:pt idx="2">
                  <c:v>1970</c:v>
                </c:pt>
                <c:pt idx="3">
                  <c:v>1980</c:v>
                </c:pt>
                <c:pt idx="4">
                  <c:v>1990</c:v>
                </c:pt>
                <c:pt idx="5">
                  <c:v>2000</c:v>
                </c:pt>
                <c:pt idx="6">
                  <c:v>2005</c:v>
                </c:pt>
                <c:pt idx="7">
                  <c:v>2010</c:v>
                </c:pt>
                <c:pt idx="8">
                  <c:v>2015</c:v>
                </c:pt>
                <c:pt idx="9">
                  <c:v>2016</c:v>
                </c:pt>
                <c:pt idx="10">
                  <c:v>2017</c:v>
                </c:pt>
              </c:numCache>
            </c:numRef>
          </c:xVal>
          <c:yVal>
            <c:numRef>
              <c:f>Tabelle1!$B$1:$B$11</c:f>
              <c:numCache>
                <c:formatCode>General</c:formatCode>
                <c:ptCount val="11"/>
                <c:pt idx="0">
                  <c:v>2.54</c:v>
                </c:pt>
                <c:pt idx="1">
                  <c:v>3.03</c:v>
                </c:pt>
                <c:pt idx="2">
                  <c:v>3.7</c:v>
                </c:pt>
                <c:pt idx="3">
                  <c:v>4.46</c:v>
                </c:pt>
                <c:pt idx="4">
                  <c:v>5.33</c:v>
                </c:pt>
                <c:pt idx="5">
                  <c:v>6.15</c:v>
                </c:pt>
                <c:pt idx="6">
                  <c:v>6.54</c:v>
                </c:pt>
                <c:pt idx="7">
                  <c:v>6.96</c:v>
                </c:pt>
                <c:pt idx="8">
                  <c:v>7.38</c:v>
                </c:pt>
                <c:pt idx="9">
                  <c:v>7.47</c:v>
                </c:pt>
                <c:pt idx="10">
                  <c:v>7.55</c:v>
                </c:pt>
              </c:numCache>
            </c:numRef>
          </c:yVal>
          <c:smooth val="0"/>
          <c:extLst>
            <c:ext xmlns:c16="http://schemas.microsoft.com/office/drawing/2014/chart" uri="{C3380CC4-5D6E-409C-BE32-E72D297353CC}">
              <c16:uniqueId val="{00000000-9473-45F0-AF90-804E6AD3C112}"/>
            </c:ext>
          </c:extLst>
        </c:ser>
        <c:dLbls>
          <c:showLegendKey val="0"/>
          <c:showVal val="0"/>
          <c:showCatName val="0"/>
          <c:showSerName val="0"/>
          <c:showPercent val="0"/>
          <c:showBubbleSize val="0"/>
        </c:dLbls>
        <c:axId val="382847712"/>
        <c:axId val="382853288"/>
      </c:scatterChart>
      <c:valAx>
        <c:axId val="3828477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82853288"/>
        <c:crosses val="autoZero"/>
        <c:crossBetween val="midCat"/>
      </c:valAx>
      <c:valAx>
        <c:axId val="382853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8284771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2465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2</cp:revision>
  <cp:lastPrinted>2019-02-24T15:52:00Z</cp:lastPrinted>
  <dcterms:created xsi:type="dcterms:W3CDTF">2020-03-11T17:04:00Z</dcterms:created>
  <dcterms:modified xsi:type="dcterms:W3CDTF">2020-03-11T17:04:00Z</dcterms:modified>
</cp:coreProperties>
</file>